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98" w:rsidRPr="00020753" w:rsidRDefault="002B0398" w:rsidP="002B0398">
      <w:pPr>
        <w:pStyle w:val="Heading2"/>
      </w:pPr>
      <w:bookmarkStart w:id="0" w:name="_Toc302476948"/>
      <w:bookmarkStart w:id="1" w:name="_Toc299429091"/>
      <w:r w:rsidRPr="00020753">
        <w:t>Significance of the Study</w:t>
      </w:r>
      <w:bookmarkEnd w:id="0"/>
    </w:p>
    <w:p w:rsidR="002B0398" w:rsidRDefault="002B0398" w:rsidP="002B0398">
      <w:pPr>
        <w:autoSpaceDE w:val="0"/>
        <w:autoSpaceDN w:val="0"/>
        <w:adjustRightInd w:val="0"/>
        <w:ind w:firstLine="0"/>
      </w:pPr>
      <w:r>
        <w:tab/>
      </w:r>
      <w:r>
        <w:rPr>
          <w:rFonts w:ascii="Garamond-Light" w:hAnsi="Garamond-Light" w:cs="Garamond-Light"/>
          <w:color w:val="000000"/>
          <w:sz w:val="22"/>
          <w:szCs w:val="22"/>
        </w:rPr>
        <w:t>Generally, religiosity has been found to have some protective effect on addictive behavior V</w:t>
      </w:r>
      <w:r>
        <w:t xml:space="preserve">aughan, de Dios, </w:t>
      </w:r>
      <w:proofErr w:type="spellStart"/>
      <w:r>
        <w:t>Steinfeldt</w:t>
      </w:r>
      <w:proofErr w:type="spellEnd"/>
      <w:r>
        <w:t xml:space="preserve">, &amp; </w:t>
      </w:r>
      <w:proofErr w:type="spellStart"/>
      <w:r>
        <w:t>Kratz</w:t>
      </w:r>
      <w:proofErr w:type="spellEnd"/>
      <w:r>
        <w:t>, (2011)</w:t>
      </w:r>
      <w:r>
        <w:rPr>
          <w:rFonts w:ascii="Garamond-Light" w:hAnsi="Garamond-Light" w:cs="Garamond-Light"/>
          <w:color w:val="000000"/>
          <w:sz w:val="22"/>
          <w:szCs w:val="22"/>
        </w:rPr>
        <w:t>, and spirituality is said to sustain maintenance of recovery (</w:t>
      </w:r>
      <w:r w:rsidRPr="009237EC">
        <w:t xml:space="preserve">Walther, Sandlin, &amp; </w:t>
      </w:r>
      <w:proofErr w:type="spellStart"/>
      <w:r w:rsidRPr="009237EC">
        <w:t>Wuensch</w:t>
      </w:r>
      <w:proofErr w:type="spellEnd"/>
      <w:r w:rsidRPr="009237EC">
        <w:t xml:space="preserve">, (2016). </w:t>
      </w:r>
      <w:r>
        <w:rPr>
          <w:rFonts w:ascii="Garamond-Light" w:hAnsi="Garamond-Light" w:cs="Garamond-Light"/>
          <w:color w:val="000000"/>
          <w:sz w:val="22"/>
          <w:szCs w:val="22"/>
        </w:rPr>
        <w:t>There have been some attempts also at exploring the mediators of the association between spirituality and recovery from addiction (</w:t>
      </w:r>
      <w:r>
        <w:t xml:space="preserve">Neale, Finch, Marsden, </w:t>
      </w:r>
      <w:proofErr w:type="spellStart"/>
      <w:r>
        <w:t>Mitcheson</w:t>
      </w:r>
      <w:proofErr w:type="spellEnd"/>
      <w:r>
        <w:t xml:space="preserve">, Rose, </w:t>
      </w:r>
      <w:proofErr w:type="spellStart"/>
      <w:r>
        <w:t>Strang</w:t>
      </w:r>
      <w:proofErr w:type="spellEnd"/>
      <w:r>
        <w:t xml:space="preserve">, &amp; ... </w:t>
      </w:r>
      <w:proofErr w:type="spellStart"/>
      <w:r>
        <w:t>Wykes</w:t>
      </w:r>
      <w:proofErr w:type="spellEnd"/>
      <w:r>
        <w:t>, (2014).</w:t>
      </w:r>
      <w:r>
        <w:rPr>
          <w:rFonts w:ascii="Garamond-Light" w:hAnsi="Garamond-Light" w:cs="Garamond-Light"/>
          <w:color w:val="000000"/>
          <w:sz w:val="22"/>
          <w:szCs w:val="22"/>
        </w:rPr>
        <w:t xml:space="preserve"> </w:t>
      </w:r>
      <w:r>
        <w:rPr>
          <w:sz w:val="23"/>
          <w:szCs w:val="23"/>
        </w:rPr>
        <w:t>This approach presupposes a deductive- inductive interactive process: applying the theoretical framework to identifying themes, and finally to attempt to refine the theoretical framework based on the themes from the data.  In a similar attempt, in this study, as said earlier, the theoretical framework came from positive psychology (</w:t>
      </w:r>
      <w:r>
        <w:t>King, &amp; Whitney, (2015).</w:t>
      </w:r>
    </w:p>
    <w:p w:rsidR="002B0398" w:rsidRPr="00C368FB" w:rsidRDefault="002B0398" w:rsidP="002B0398">
      <w:pPr>
        <w:autoSpaceDE w:val="0"/>
        <w:autoSpaceDN w:val="0"/>
        <w:adjustRightInd w:val="0"/>
        <w:ind w:firstLine="0"/>
      </w:pPr>
    </w:p>
    <w:p w:rsidR="002B0398" w:rsidRDefault="002B0398" w:rsidP="002B0398">
      <w:pPr>
        <w:autoSpaceDE w:val="0"/>
        <w:autoSpaceDN w:val="0"/>
        <w:adjustRightInd w:val="0"/>
        <w:ind w:firstLine="0"/>
        <w:rPr>
          <w:rFonts w:ascii="Garamond-Light" w:hAnsi="Garamond-Light" w:cs="Garamond-Light"/>
          <w:color w:val="000000"/>
          <w:sz w:val="22"/>
          <w:szCs w:val="22"/>
        </w:rPr>
      </w:pPr>
    </w:p>
    <w:p w:rsidR="002B0398" w:rsidRPr="00020753" w:rsidRDefault="002B0398" w:rsidP="002B0398">
      <w:pPr>
        <w:pStyle w:val="Heading2"/>
      </w:pPr>
      <w:bookmarkStart w:id="2" w:name="_Toc299429092"/>
      <w:bookmarkEnd w:id="1"/>
      <w:r w:rsidRPr="00020753">
        <w:t>R</w:t>
      </w:r>
      <w:r>
        <w:t xml:space="preserve">ationale for </w:t>
      </w:r>
      <w:r w:rsidRPr="00020753">
        <w:t>Methodology</w:t>
      </w:r>
      <w:bookmarkEnd w:id="2"/>
    </w:p>
    <w:p w:rsidR="002B0398" w:rsidRDefault="002B0398" w:rsidP="00A665AE">
      <w:pPr>
        <w:pStyle w:val="Default"/>
        <w:spacing w:line="480" w:lineRule="auto"/>
        <w:ind w:firstLine="720"/>
      </w:pPr>
      <w:r>
        <w:t xml:space="preserve">A qualitative methodology is appropriate when a researcher needs to get into the context of a specific situation (Yin, 2014).  The focus of this study was about therapist views in the use of prayers in treatment for alcoholics.  </w:t>
      </w:r>
      <w:r w:rsidRPr="00A872F5">
        <w:rPr>
          <w:sz w:val="23"/>
          <w:szCs w:val="23"/>
        </w:rPr>
        <w:t>Generally, it is a quantitative procedure. However, QSLRs</w:t>
      </w:r>
      <w:r>
        <w:rPr>
          <w:sz w:val="23"/>
          <w:szCs w:val="23"/>
        </w:rPr>
        <w:t xml:space="preserve"> </w:t>
      </w:r>
      <w:r w:rsidRPr="00A872F5">
        <w:rPr>
          <w:sz w:val="23"/>
          <w:szCs w:val="23"/>
        </w:rPr>
        <w:t>are also increasingly being published in peer- reviewed journals (</w:t>
      </w:r>
      <w:proofErr w:type="spellStart"/>
      <w:r>
        <w:t>Bauld</w:t>
      </w:r>
      <w:proofErr w:type="spellEnd"/>
      <w:r>
        <w:t xml:space="preserve">, Templeton, Silver, </w:t>
      </w:r>
      <w:proofErr w:type="spellStart"/>
      <w:r>
        <w:t>McKell</w:t>
      </w:r>
      <w:proofErr w:type="spellEnd"/>
      <w:r>
        <w:t>, Novak, &amp; Hay, (2013)</w:t>
      </w:r>
      <w:r w:rsidRPr="00A872F5">
        <w:rPr>
          <w:sz w:val="23"/>
          <w:szCs w:val="23"/>
        </w:rPr>
        <w:t>. While the quantitative systematic review helps to evaluate the strength of available evidence in terms of numbers, the qualitative procedure</w:t>
      </w:r>
      <w:r>
        <w:rPr>
          <w:sz w:val="23"/>
          <w:szCs w:val="23"/>
        </w:rPr>
        <w:t xml:space="preserve"> facilitates in systematically placing </w:t>
      </w:r>
      <w:r w:rsidRPr="00A872F5">
        <w:rPr>
          <w:sz w:val="23"/>
          <w:szCs w:val="23"/>
        </w:rPr>
        <w:t>the constructs used in measures, intervention protocols, and reported results (</w:t>
      </w:r>
      <w:proofErr w:type="spellStart"/>
      <w:r>
        <w:rPr>
          <w:sz w:val="23"/>
          <w:szCs w:val="23"/>
        </w:rPr>
        <w:t>Bauld</w:t>
      </w:r>
      <w:proofErr w:type="spellEnd"/>
      <w:r>
        <w:rPr>
          <w:sz w:val="23"/>
          <w:szCs w:val="23"/>
        </w:rPr>
        <w:t>, et al, 2013</w:t>
      </w:r>
      <w:r w:rsidRPr="00A872F5">
        <w:rPr>
          <w:sz w:val="23"/>
          <w:szCs w:val="23"/>
        </w:rPr>
        <w:t>). QSLR does not deal with primary data from quantitative studies, but focuses on discussions that the authors attempt to make on the basis of their findings; in qualitative studies, though, the findings are also useful. The present QSLR focuses on the underpinning literal discourse among researchers who examine the relationship between religion, spirituality, character strengths, and addiction-recovery.</w:t>
      </w:r>
    </w:p>
    <w:p w:rsidR="002B0398" w:rsidRPr="00020753" w:rsidRDefault="002B0398" w:rsidP="002B0398">
      <w:pPr>
        <w:pStyle w:val="Heading2"/>
      </w:pPr>
      <w:bookmarkStart w:id="3" w:name="_Toc299429093"/>
      <w:r>
        <w:lastRenderedPageBreak/>
        <w:t xml:space="preserve">Nature of the </w:t>
      </w:r>
      <w:r w:rsidRPr="00020753">
        <w:t>Research Design</w:t>
      </w:r>
      <w:bookmarkEnd w:id="3"/>
      <w:r>
        <w:t xml:space="preserve"> for the Study</w:t>
      </w:r>
    </w:p>
    <w:p w:rsidR="002B0398" w:rsidRPr="0000477A" w:rsidRDefault="002B0398" w:rsidP="002B0398">
      <w:pPr>
        <w:rPr>
          <w:sz w:val="23"/>
          <w:szCs w:val="23"/>
        </w:rPr>
      </w:pPr>
      <w:r>
        <w:rPr>
          <w:sz w:val="23"/>
          <w:szCs w:val="23"/>
        </w:rPr>
        <w:t xml:space="preserve">Three steps are important in a SLR: selection of the available sources, analysis of the sources and reporting the identified patterns. What makes the present review qualitative in character is that in the analysis and reporting of the patterns in the selected sources, attention is on literary data rather than the numerical data. In this process, the use of a computer- assisted qualitative data analysis software, namely NVivo-8, offered the advantage of being able to handle large data set, to check for consistency in coding, and to digitally transfer coded data to the report (Leech &amp; </w:t>
      </w:r>
      <w:proofErr w:type="spellStart"/>
      <w:r>
        <w:rPr>
          <w:sz w:val="23"/>
          <w:szCs w:val="23"/>
        </w:rPr>
        <w:t>Onwuegbuzie</w:t>
      </w:r>
      <w:proofErr w:type="spellEnd"/>
      <w:r>
        <w:rPr>
          <w:sz w:val="23"/>
          <w:szCs w:val="23"/>
        </w:rPr>
        <w:t>, 2011).</w:t>
      </w:r>
    </w:p>
    <w:p w:rsidR="002B0398" w:rsidRDefault="002B0398" w:rsidP="00A665AE">
      <w:pPr>
        <w:ind w:firstLine="0"/>
      </w:pPr>
      <w:bookmarkStart w:id="4" w:name="_Toc299429089"/>
      <w:bookmarkStart w:id="5" w:name="_Toc299429094"/>
    </w:p>
    <w:p w:rsidR="002B0398" w:rsidRPr="00020753" w:rsidRDefault="002B0398" w:rsidP="002B0398">
      <w:pPr>
        <w:pStyle w:val="Heading2"/>
      </w:pPr>
      <w:r w:rsidRPr="00020753">
        <w:t xml:space="preserve">Purpose of the Study </w:t>
      </w:r>
      <w:bookmarkEnd w:id="4"/>
    </w:p>
    <w:p w:rsidR="002B0398" w:rsidRDefault="002B0398" w:rsidP="002B0398">
      <w:r w:rsidRPr="00020753">
        <w:t>The purpose of this</w:t>
      </w:r>
      <w:r w:rsidRPr="00020753">
        <w:rPr>
          <w:b/>
        </w:rPr>
        <w:t xml:space="preserve"> </w:t>
      </w:r>
      <w:r w:rsidRPr="006A7997">
        <w:t>qualitative</w:t>
      </w:r>
      <w:r>
        <w:t xml:space="preserve"> study is to focus on how subjects experience and understand a specific phenomenon (Walther, </w:t>
      </w:r>
      <w:proofErr w:type="spellStart"/>
      <w:r>
        <w:t>Sochacka</w:t>
      </w:r>
      <w:proofErr w:type="spellEnd"/>
      <w:r>
        <w:t xml:space="preserve"> &amp; </w:t>
      </w:r>
      <w:proofErr w:type="spellStart"/>
      <w:r>
        <w:t>Kellam</w:t>
      </w:r>
      <w:proofErr w:type="spellEnd"/>
      <w:r>
        <w:t xml:space="preserve">, 2013). The goal of an interpretive study is to allow the researcher to understand how people make sense of what is occurring in their lives within the research site of Boston, MA. </w:t>
      </w:r>
    </w:p>
    <w:p w:rsidR="002B0398" w:rsidRPr="00AB775A" w:rsidRDefault="002B0398" w:rsidP="002B0398">
      <w:pPr>
        <w:autoSpaceDE w:val="0"/>
        <w:autoSpaceDN w:val="0"/>
        <w:adjustRightInd w:val="0"/>
        <w:rPr>
          <w:rFonts w:eastAsia="TimesNewRoman"/>
        </w:rPr>
      </w:pPr>
      <w:r>
        <w:t xml:space="preserve">At this stage the researcher is studying the phenomenon of  </w:t>
      </w:r>
      <w:r>
        <w:rPr>
          <w:rFonts w:eastAsia="TimesNewRoman"/>
        </w:rPr>
        <w:t xml:space="preserve">a </w:t>
      </w:r>
      <w:r w:rsidRPr="00AB775A">
        <w:rPr>
          <w:rFonts w:eastAsia="TimesNewRoman"/>
        </w:rPr>
        <w:t>spirituality based intervention like Christian mindfulness facilitates recovery and at the same time improves character strengths more effectively than a non-spirituality intervention like life-skills training, then it could be inferred that character strengths play a mediating role in spirituality induced recovery.</w:t>
      </w:r>
    </w:p>
    <w:p w:rsidR="002B0398" w:rsidRDefault="002B0398" w:rsidP="002B0398"/>
    <w:p w:rsidR="002B0398" w:rsidRPr="00020753" w:rsidRDefault="002B0398" w:rsidP="00AE0341">
      <w:pPr>
        <w:ind w:firstLine="0"/>
      </w:pPr>
    </w:p>
    <w:p w:rsidR="002B0398" w:rsidRPr="00020753" w:rsidRDefault="002B0398" w:rsidP="002B0398">
      <w:pPr>
        <w:pStyle w:val="Heading2"/>
      </w:pPr>
      <w:r w:rsidRPr="00020753">
        <w:t>Instrumentation or Sources of Data</w:t>
      </w:r>
      <w:bookmarkEnd w:id="5"/>
    </w:p>
    <w:p w:rsidR="002B0398" w:rsidRPr="00AE0341" w:rsidRDefault="002B0398" w:rsidP="00AE0341">
      <w:pPr>
        <w:autoSpaceDE w:val="0"/>
        <w:autoSpaceDN w:val="0"/>
        <w:adjustRightInd w:val="0"/>
        <w:rPr>
          <w:rFonts w:eastAsia="TimesNewRoman"/>
        </w:rPr>
      </w:pPr>
      <w:r w:rsidRPr="005177A6">
        <w:rPr>
          <w:rFonts w:eastAsia="TimesNewRoman"/>
        </w:rPr>
        <w:t>The case studies helped to understand the process at its various stages and to</w:t>
      </w:r>
      <w:r>
        <w:rPr>
          <w:rFonts w:eastAsia="TimesNewRoman"/>
        </w:rPr>
        <w:t xml:space="preserve"> </w:t>
      </w:r>
      <w:r w:rsidRPr="005177A6">
        <w:rPr>
          <w:rFonts w:eastAsia="TimesNewRoman"/>
        </w:rPr>
        <w:t>pick up elements (particularly hidden variables) that we</w:t>
      </w:r>
      <w:r>
        <w:rPr>
          <w:rFonts w:eastAsia="TimesNewRoman"/>
        </w:rPr>
        <w:t xml:space="preserve">re in play. Therefore, the type </w:t>
      </w:r>
      <w:r w:rsidRPr="005177A6">
        <w:rPr>
          <w:rFonts w:eastAsia="TimesNewRoman"/>
        </w:rPr>
        <w:t xml:space="preserve">of case study </w:t>
      </w:r>
      <w:r w:rsidRPr="005177A6">
        <w:rPr>
          <w:rFonts w:eastAsia="TimesNewRoman"/>
        </w:rPr>
        <w:lastRenderedPageBreak/>
        <w:t>employed in the present study can be considered an ‘in</w:t>
      </w:r>
      <w:r>
        <w:rPr>
          <w:rFonts w:eastAsia="TimesNewRoman"/>
        </w:rPr>
        <w:t xml:space="preserve">strumental case </w:t>
      </w:r>
      <w:r w:rsidRPr="005177A6">
        <w:rPr>
          <w:rFonts w:eastAsia="TimesNewRoman"/>
        </w:rPr>
        <w:t>study’ (</w:t>
      </w:r>
      <w:proofErr w:type="spellStart"/>
      <w:r w:rsidRPr="005177A6">
        <w:rPr>
          <w:rFonts w:eastAsia="TimesNewRoman"/>
        </w:rPr>
        <w:t>Willig</w:t>
      </w:r>
      <w:proofErr w:type="spellEnd"/>
      <w:r w:rsidRPr="005177A6">
        <w:rPr>
          <w:rFonts w:eastAsia="TimesNewRoman"/>
        </w:rPr>
        <w:t>, 2001). It was also an ‘embedded multiple case studies’</w:t>
      </w:r>
      <w:r>
        <w:rPr>
          <w:rFonts w:eastAsia="TimesNewRoman"/>
        </w:rPr>
        <w:t xml:space="preserve"> inasmuch as it </w:t>
      </w:r>
      <w:r w:rsidRPr="005177A6">
        <w:rPr>
          <w:rFonts w:eastAsia="TimesNewRoman"/>
        </w:rPr>
        <w:t xml:space="preserve">used various sources of data comparing the experience </w:t>
      </w:r>
      <w:r>
        <w:rPr>
          <w:rFonts w:eastAsia="TimesNewRoman"/>
        </w:rPr>
        <w:t xml:space="preserve">of two participants. Generally, </w:t>
      </w:r>
      <w:r w:rsidRPr="005177A6">
        <w:rPr>
          <w:rFonts w:eastAsia="TimesNewRoman"/>
        </w:rPr>
        <w:t>the case study approach may be limited by the subjective interpretatio</w:t>
      </w:r>
      <w:r>
        <w:rPr>
          <w:rFonts w:eastAsia="TimesNewRoman"/>
        </w:rPr>
        <w:t xml:space="preserve">n of the </w:t>
      </w:r>
      <w:r w:rsidRPr="005177A6">
        <w:rPr>
          <w:rFonts w:eastAsia="TimesNewRoman"/>
        </w:rPr>
        <w:t>researcher, and the findings might be difficult to replic</w:t>
      </w:r>
      <w:r>
        <w:rPr>
          <w:rFonts w:eastAsia="TimesNewRoman"/>
        </w:rPr>
        <w:t xml:space="preserve">ate (Hayes, 2000). Despite this </w:t>
      </w:r>
      <w:r w:rsidRPr="005177A6">
        <w:rPr>
          <w:rFonts w:eastAsia="TimesNewRoman"/>
        </w:rPr>
        <w:t>limitation, qualitative methods keep the researcher close t</w:t>
      </w:r>
      <w:r>
        <w:rPr>
          <w:rFonts w:eastAsia="TimesNewRoman"/>
        </w:rPr>
        <w:t xml:space="preserve">o the participants of the study </w:t>
      </w:r>
      <w:r w:rsidRPr="005177A6">
        <w:rPr>
          <w:rFonts w:eastAsia="TimesNewRoman"/>
        </w:rPr>
        <w:t>given the religious and cross-cultural context of the intervention (</w:t>
      </w:r>
      <w:proofErr w:type="spellStart"/>
      <w:r w:rsidRPr="005177A6">
        <w:rPr>
          <w:rFonts w:eastAsia="TimesNewRoman"/>
        </w:rPr>
        <w:t>Belzen</w:t>
      </w:r>
      <w:proofErr w:type="spellEnd"/>
      <w:r w:rsidRPr="005177A6">
        <w:rPr>
          <w:rFonts w:eastAsia="TimesNewRoman"/>
        </w:rPr>
        <w:t>, 2010).</w:t>
      </w:r>
      <w:r>
        <w:rPr>
          <w:b/>
          <w:u w:val="single"/>
        </w:rPr>
        <w:t xml:space="preserve"> </w:t>
      </w:r>
    </w:p>
    <w:p w:rsidR="002B0398" w:rsidRPr="00020753" w:rsidRDefault="002B0398" w:rsidP="002B0398">
      <w:pPr>
        <w:pStyle w:val="Heading2"/>
      </w:pPr>
      <w:bookmarkStart w:id="6" w:name="_Toc299429095"/>
      <w:r w:rsidRPr="00020753">
        <w:t>Data Collection Procedures</w:t>
      </w:r>
      <w:bookmarkEnd w:id="6"/>
    </w:p>
    <w:p w:rsidR="002B0398" w:rsidRPr="0079349B" w:rsidRDefault="002B0398" w:rsidP="002B0398">
      <w:r w:rsidRPr="0079349B">
        <w:t>The purpose of the study, study procedures, and provisions for participant confidentiality will be explained, and informed consent will be obtained. Data will be developed in a form of information to answer research questions. As recommended by Yin (2013), analysis of interviews, survey, and records should provide validity of the findings to enable conclusions to be made and drawn from the findings.</w:t>
      </w:r>
    </w:p>
    <w:p w:rsidR="002B0398" w:rsidRPr="0079349B" w:rsidRDefault="002B0398" w:rsidP="002B0398">
      <w:pPr>
        <w:autoSpaceDE w:val="0"/>
        <w:autoSpaceDN w:val="0"/>
        <w:adjustRightInd w:val="0"/>
        <w:rPr>
          <w:rFonts w:eastAsia="TimesNewRoman"/>
        </w:rPr>
      </w:pPr>
      <w:r w:rsidRPr="0079349B">
        <w:t xml:space="preserve">The research will investigate and develop from Boston, MA </w:t>
      </w:r>
      <w:r w:rsidRPr="0079349B">
        <w:rPr>
          <w:rFonts w:eastAsia="TimesNewRoman"/>
        </w:rPr>
        <w:t>The participants for the survey were drawn from among young adults in university colleges and youth groups in the city of Boston, MA The participants were recruited through, the departments of social sciences in universities, Non-Governmental Organizations (NGO’s) in the city and church based youth groups.</w:t>
      </w:r>
      <w:r w:rsidRPr="0079349B">
        <w:t xml:space="preserve">  </w:t>
      </w:r>
      <w:r w:rsidRPr="0079349B">
        <w:rPr>
          <w:rFonts w:eastAsia="TimesNewRoman"/>
        </w:rPr>
        <w:t xml:space="preserve">Therefore, a sample of only university students in Boston is likely to be highly representative of the age group. Due to lack of population lists in regards to young adults in </w:t>
      </w:r>
      <w:proofErr w:type="gramStart"/>
      <w:r w:rsidRPr="0079349B">
        <w:rPr>
          <w:rFonts w:eastAsia="TimesNewRoman"/>
        </w:rPr>
        <w:t>university college</w:t>
      </w:r>
      <w:proofErr w:type="gramEnd"/>
      <w:r w:rsidRPr="0079349B">
        <w:rPr>
          <w:rFonts w:eastAsia="TimesNewRoman"/>
        </w:rPr>
        <w:t xml:space="preserve">, convenience sampling was used for the selection of the specific locations for the survey. In academic institutions, the students will be requested to complete the questionnaire during a free hour, or they were allowed to take it home to complete and return the next day. In </w:t>
      </w:r>
      <w:r w:rsidRPr="0079349B">
        <w:rPr>
          <w:rFonts w:eastAsia="TimesNewRoman"/>
        </w:rPr>
        <w:lastRenderedPageBreak/>
        <w:t xml:space="preserve">religious and NGO locations, the questionnaires will be administered during scheduled meetings of the youth groups. Participation </w:t>
      </w:r>
      <w:r>
        <w:rPr>
          <w:rFonts w:eastAsia="TimesNewRoman"/>
        </w:rPr>
        <w:t xml:space="preserve">will be </w:t>
      </w:r>
      <w:r w:rsidRPr="0079349B">
        <w:rPr>
          <w:rFonts w:eastAsia="TimesNewRoman"/>
        </w:rPr>
        <w:t>on a voluntary basis.</w:t>
      </w:r>
    </w:p>
    <w:p w:rsidR="002B0398" w:rsidRDefault="002B0398" w:rsidP="002B0398">
      <w:pPr>
        <w:pStyle w:val="Heading2"/>
      </w:pPr>
      <w:bookmarkStart w:id="7" w:name="_Toc299429096"/>
    </w:p>
    <w:p w:rsidR="002B0398" w:rsidRPr="00020753" w:rsidRDefault="002B0398" w:rsidP="002B0398">
      <w:pPr>
        <w:pStyle w:val="Heading2"/>
      </w:pPr>
      <w:r w:rsidRPr="00020753">
        <w:t>Data Analysis Procedures</w:t>
      </w:r>
      <w:bookmarkEnd w:id="7"/>
    </w:p>
    <w:p w:rsidR="002B0398" w:rsidRPr="00D139C3" w:rsidRDefault="002B0398" w:rsidP="002B0398">
      <w:pPr>
        <w:autoSpaceDE w:val="0"/>
        <w:autoSpaceDN w:val="0"/>
        <w:adjustRightInd w:val="0"/>
        <w:rPr>
          <w:rFonts w:eastAsia="TimesNewRoman"/>
        </w:rPr>
      </w:pPr>
      <w:r w:rsidRPr="00D139C3">
        <w:rPr>
          <w:rFonts w:eastAsia="TimesNewRoman"/>
        </w:rPr>
        <w:t>This would be an attempt to explain all religious</w:t>
      </w:r>
      <w:r>
        <w:rPr>
          <w:rFonts w:eastAsia="TimesNewRoman"/>
        </w:rPr>
        <w:t xml:space="preserve"> </w:t>
      </w:r>
      <w:r w:rsidRPr="00D139C3">
        <w:rPr>
          <w:rFonts w:eastAsia="TimesNewRoman"/>
        </w:rPr>
        <w:t>phenomena within a single theory, such as the psychoanalytical approach. If the</w:t>
      </w:r>
      <w:r>
        <w:rPr>
          <w:rFonts w:eastAsia="TimesNewRoman"/>
        </w:rPr>
        <w:t xml:space="preserve"> </w:t>
      </w:r>
      <w:r w:rsidRPr="00D139C3">
        <w:rPr>
          <w:rFonts w:eastAsia="TimesNewRoman"/>
        </w:rPr>
        <w:t>theoretical framework is monolithic and restrictive, would it not leave PR</w:t>
      </w:r>
      <w:r>
        <w:rPr>
          <w:rFonts w:eastAsia="TimesNewRoman"/>
        </w:rPr>
        <w:t xml:space="preserve"> </w:t>
      </w:r>
      <w:r w:rsidRPr="00D139C3">
        <w:rPr>
          <w:rFonts w:eastAsia="TimesNewRoman"/>
        </w:rPr>
        <w:t>impoverished? Besides, there are some inherent aspects in religion that might prove</w:t>
      </w:r>
      <w:r>
        <w:rPr>
          <w:rFonts w:eastAsia="TimesNewRoman"/>
        </w:rPr>
        <w:t xml:space="preserve"> </w:t>
      </w:r>
      <w:r w:rsidRPr="00D139C3">
        <w:rPr>
          <w:rFonts w:eastAsia="TimesNewRoman"/>
        </w:rPr>
        <w:t>such an enterprise difficult. Religion, the subject-matter of PR, is a complex</w:t>
      </w:r>
      <w:r>
        <w:rPr>
          <w:rFonts w:eastAsia="TimesNewRoman"/>
        </w:rPr>
        <w:t xml:space="preserve"> </w:t>
      </w:r>
      <w:r w:rsidRPr="00D139C3">
        <w:rPr>
          <w:rFonts w:eastAsia="TimesNewRoman"/>
        </w:rPr>
        <w:t>phenomenon, as I have pointed out earlier. Besides the problem of definition, the</w:t>
      </w:r>
      <w:r>
        <w:rPr>
          <w:rFonts w:eastAsia="TimesNewRoman"/>
        </w:rPr>
        <w:t xml:space="preserve"> </w:t>
      </w:r>
      <w:r w:rsidRPr="00D139C3">
        <w:rPr>
          <w:rFonts w:eastAsia="TimesNewRoman"/>
        </w:rPr>
        <w:t>elements that make up religion are multidimensional. Therefore the theoretical</w:t>
      </w:r>
      <w:r>
        <w:rPr>
          <w:rFonts w:eastAsia="TimesNewRoman"/>
        </w:rPr>
        <w:t xml:space="preserve"> </w:t>
      </w:r>
      <w:r w:rsidRPr="00D139C3">
        <w:rPr>
          <w:rFonts w:eastAsia="TimesNewRoman"/>
        </w:rPr>
        <w:t>framework for PR needs to be also multidimensional.</w:t>
      </w:r>
    </w:p>
    <w:p w:rsidR="002B0398" w:rsidRPr="00020753" w:rsidRDefault="002B0398" w:rsidP="00F533C9">
      <w:pPr>
        <w:ind w:firstLine="0"/>
        <w:rPr>
          <w:b/>
          <w:u w:val="single"/>
        </w:rPr>
      </w:pPr>
    </w:p>
    <w:p w:rsidR="002B0398" w:rsidRPr="00020753" w:rsidRDefault="002B0398" w:rsidP="002B0398">
      <w:pPr>
        <w:pStyle w:val="Heading2"/>
      </w:pPr>
      <w:bookmarkStart w:id="8" w:name="_Toc299429097"/>
      <w:r w:rsidRPr="00020753">
        <w:t>Ethical Considerations</w:t>
      </w:r>
      <w:bookmarkEnd w:id="8"/>
    </w:p>
    <w:p w:rsidR="002B0398" w:rsidRDefault="002B0398" w:rsidP="002B0398">
      <w:pPr>
        <w:pStyle w:val="BodyText"/>
        <w:ind w:right="288"/>
        <w:rPr>
          <w:szCs w:val="24"/>
        </w:rPr>
      </w:pPr>
      <w:r w:rsidRPr="004D1B8E">
        <w:rPr>
          <w:szCs w:val="24"/>
        </w:rPr>
        <w:t>In the course of this study, the respondents will be kept confidential to protect their privacy and individuals will provide information on their own will. Any information cited shall be appropriately referenced to acknowledge individuals work and permission sought from institutions before using their work. Authorization will be sought by approaching the relevant authorities and informing them on the purpose of the study. Thereafter they will be required to provide written permission before using their work</w:t>
      </w:r>
      <w:r>
        <w:rPr>
          <w:szCs w:val="24"/>
        </w:rPr>
        <w:t>.</w:t>
      </w:r>
    </w:p>
    <w:p w:rsidR="002B0398" w:rsidRDefault="002B0398" w:rsidP="002B0398">
      <w:pPr>
        <w:pStyle w:val="BodyText"/>
        <w:ind w:right="288"/>
        <w:rPr>
          <w:szCs w:val="24"/>
        </w:rPr>
      </w:pPr>
    </w:p>
    <w:p w:rsidR="002B0398" w:rsidRPr="00020753" w:rsidRDefault="002B0398" w:rsidP="002B0398">
      <w:pPr>
        <w:spacing w:line="240" w:lineRule="auto"/>
        <w:ind w:firstLine="0"/>
        <w:rPr>
          <w:b/>
          <w:bCs/>
          <w:color w:val="000000"/>
        </w:rPr>
      </w:pPr>
      <w:bookmarkStart w:id="9" w:name="_GoBack"/>
      <w:bookmarkEnd w:id="9"/>
      <w:r w:rsidRPr="00020753">
        <w:br w:type="page"/>
      </w:r>
    </w:p>
    <w:p w:rsidR="00731F8C" w:rsidRDefault="00382982"/>
    <w:sectPr w:rsidR="00731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Light">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232D"/>
    <w:multiLevelType w:val="hybridMultilevel"/>
    <w:tmpl w:val="2AEC0B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92F36FD"/>
    <w:multiLevelType w:val="hybridMultilevel"/>
    <w:tmpl w:val="2AEC0B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B7D08A2"/>
    <w:multiLevelType w:val="hybridMultilevel"/>
    <w:tmpl w:val="D77085AC"/>
    <w:lvl w:ilvl="0" w:tplc="53F08F7E">
      <w:start w:val="1"/>
      <w:numFmt w:val="decimal"/>
      <w:lvlText w:val="%1."/>
      <w:lvlJc w:val="left"/>
      <w:pPr>
        <w:ind w:left="877"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FE770E8"/>
    <w:multiLevelType w:val="hybridMultilevel"/>
    <w:tmpl w:val="8786B5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596658F5"/>
    <w:multiLevelType w:val="hybridMultilevel"/>
    <w:tmpl w:val="023897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5E6928CC"/>
    <w:multiLevelType w:val="hybridMultilevel"/>
    <w:tmpl w:val="2ACA15DC"/>
    <w:lvl w:ilvl="0" w:tplc="53F08F7E">
      <w:start w:val="1"/>
      <w:numFmt w:val="decimal"/>
      <w:lvlText w:val="%1."/>
      <w:lvlJc w:val="left"/>
      <w:pPr>
        <w:ind w:left="3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55694C"/>
    <w:multiLevelType w:val="hybridMultilevel"/>
    <w:tmpl w:val="9A58CB7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7C25777A"/>
    <w:multiLevelType w:val="hybridMultilevel"/>
    <w:tmpl w:val="8DD6E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98"/>
    <w:rsid w:val="002B0398"/>
    <w:rsid w:val="00382982"/>
    <w:rsid w:val="003D5589"/>
    <w:rsid w:val="00823C88"/>
    <w:rsid w:val="0084170D"/>
    <w:rsid w:val="00A665AE"/>
    <w:rsid w:val="00AE0341"/>
    <w:rsid w:val="00D35FB3"/>
    <w:rsid w:val="00DC5663"/>
    <w:rsid w:val="00F5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98"/>
    <w:pPr>
      <w:spacing w:after="0" w:line="480" w:lineRule="auto"/>
      <w:ind w:firstLine="72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B0398"/>
    <w:pPr>
      <w:keepNext/>
      <w:keepLines/>
      <w:ind w:firstLine="0"/>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398"/>
    <w:rPr>
      <w:rFonts w:ascii="Times New Roman" w:eastAsia="Times New Roman" w:hAnsi="Times New Roman" w:cs="Times New Roman"/>
      <w:b/>
      <w:bCs/>
      <w:color w:val="000000"/>
      <w:sz w:val="24"/>
      <w:szCs w:val="24"/>
    </w:rPr>
  </w:style>
  <w:style w:type="paragraph" w:styleId="ListParagraph">
    <w:name w:val="List Paragraph"/>
    <w:basedOn w:val="Normal"/>
    <w:uiPriority w:val="34"/>
    <w:qFormat/>
    <w:rsid w:val="002B0398"/>
    <w:pPr>
      <w:ind w:left="720"/>
      <w:contextualSpacing/>
    </w:pPr>
  </w:style>
  <w:style w:type="paragraph" w:customStyle="1" w:styleId="APAReference">
    <w:name w:val="APA Reference"/>
    <w:qFormat/>
    <w:rsid w:val="002B0398"/>
    <w:pPr>
      <w:spacing w:after="0" w:line="480" w:lineRule="auto"/>
      <w:ind w:left="720" w:hanging="720"/>
    </w:pPr>
    <w:rPr>
      <w:rFonts w:ascii="Times New Roman" w:eastAsia="Times New Roman" w:hAnsi="Times New Roman" w:cs="Times New Roman"/>
      <w:sz w:val="24"/>
      <w:lang w:bidi="en-US"/>
    </w:rPr>
  </w:style>
  <w:style w:type="paragraph" w:customStyle="1" w:styleId="BodyText">
    <w:name w:val="BodyText"/>
    <w:basedOn w:val="Normal"/>
    <w:link w:val="BodyTextChar"/>
    <w:qFormat/>
    <w:rsid w:val="002B0398"/>
    <w:rPr>
      <w:rFonts w:eastAsia="PMingLiU"/>
      <w:szCs w:val="20"/>
    </w:rPr>
  </w:style>
  <w:style w:type="character" w:customStyle="1" w:styleId="BodyTextChar">
    <w:name w:val="BodyText Char"/>
    <w:link w:val="BodyText"/>
    <w:rsid w:val="002B0398"/>
    <w:rPr>
      <w:rFonts w:ascii="Times New Roman" w:eastAsia="PMingLiU" w:hAnsi="Times New Roman" w:cs="Times New Roman"/>
      <w:sz w:val="24"/>
      <w:szCs w:val="20"/>
    </w:rPr>
  </w:style>
  <w:style w:type="table" w:styleId="TableGrid">
    <w:name w:val="Table Grid"/>
    <w:aliases w:val="Table Grid Header"/>
    <w:basedOn w:val="TableNormal"/>
    <w:uiPriority w:val="59"/>
    <w:rsid w:val="002B0398"/>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039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98"/>
    <w:pPr>
      <w:spacing w:after="0" w:line="480" w:lineRule="auto"/>
      <w:ind w:firstLine="72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B0398"/>
    <w:pPr>
      <w:keepNext/>
      <w:keepLines/>
      <w:ind w:firstLine="0"/>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398"/>
    <w:rPr>
      <w:rFonts w:ascii="Times New Roman" w:eastAsia="Times New Roman" w:hAnsi="Times New Roman" w:cs="Times New Roman"/>
      <w:b/>
      <w:bCs/>
      <w:color w:val="000000"/>
      <w:sz w:val="24"/>
      <w:szCs w:val="24"/>
    </w:rPr>
  </w:style>
  <w:style w:type="paragraph" w:styleId="ListParagraph">
    <w:name w:val="List Paragraph"/>
    <w:basedOn w:val="Normal"/>
    <w:uiPriority w:val="34"/>
    <w:qFormat/>
    <w:rsid w:val="002B0398"/>
    <w:pPr>
      <w:ind w:left="720"/>
      <w:contextualSpacing/>
    </w:pPr>
  </w:style>
  <w:style w:type="paragraph" w:customStyle="1" w:styleId="APAReference">
    <w:name w:val="APA Reference"/>
    <w:qFormat/>
    <w:rsid w:val="002B0398"/>
    <w:pPr>
      <w:spacing w:after="0" w:line="480" w:lineRule="auto"/>
      <w:ind w:left="720" w:hanging="720"/>
    </w:pPr>
    <w:rPr>
      <w:rFonts w:ascii="Times New Roman" w:eastAsia="Times New Roman" w:hAnsi="Times New Roman" w:cs="Times New Roman"/>
      <w:sz w:val="24"/>
      <w:lang w:bidi="en-US"/>
    </w:rPr>
  </w:style>
  <w:style w:type="paragraph" w:customStyle="1" w:styleId="BodyText">
    <w:name w:val="BodyText"/>
    <w:basedOn w:val="Normal"/>
    <w:link w:val="BodyTextChar"/>
    <w:qFormat/>
    <w:rsid w:val="002B0398"/>
    <w:rPr>
      <w:rFonts w:eastAsia="PMingLiU"/>
      <w:szCs w:val="20"/>
    </w:rPr>
  </w:style>
  <w:style w:type="character" w:customStyle="1" w:styleId="BodyTextChar">
    <w:name w:val="BodyText Char"/>
    <w:link w:val="BodyText"/>
    <w:rsid w:val="002B0398"/>
    <w:rPr>
      <w:rFonts w:ascii="Times New Roman" w:eastAsia="PMingLiU" w:hAnsi="Times New Roman" w:cs="Times New Roman"/>
      <w:sz w:val="24"/>
      <w:szCs w:val="20"/>
    </w:rPr>
  </w:style>
  <w:style w:type="table" w:styleId="TableGrid">
    <w:name w:val="Table Grid"/>
    <w:aliases w:val="Table Grid Header"/>
    <w:basedOn w:val="TableNormal"/>
    <w:uiPriority w:val="59"/>
    <w:rsid w:val="002B0398"/>
    <w:pPr>
      <w:spacing w:after="0" w:line="240" w:lineRule="auto"/>
    </w:pPr>
    <w:rPr>
      <w:rFonts w:ascii="Times New Roman" w:eastAsia="Calibri"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039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1000</Words>
  <Characters>5703</Characters>
  <Application>Microsoft Office Word</Application>
  <DocSecurity>0</DocSecurity>
  <Lines>47</Lines>
  <Paragraphs>13</Paragraphs>
  <ScaleCrop>false</ScaleCrop>
  <Company>Hewlett-Packard</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7</cp:revision>
  <dcterms:created xsi:type="dcterms:W3CDTF">2016-06-01T12:00:00Z</dcterms:created>
  <dcterms:modified xsi:type="dcterms:W3CDTF">2016-06-01T12:02:00Z</dcterms:modified>
</cp:coreProperties>
</file>